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April 14, 2026 4:00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March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March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Update on Quickbooks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update-laminator/ends June '26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March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-"Buildings &amp; Grounds 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Sexual Harassment Cert. signed by remaining board members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8.2 250 T-shirts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City Updates Pertaining to Library (may require vote)- Sheryl Scherrer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Budget for FY 26/27 - vote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Quotes- Mobile Shelving/Mobile Chilren's Bins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CD's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9.5 Spring Events- Annual Bake Sale, Float, etc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9.6 May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